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F1" w:rsidRDefault="009304F1" w:rsidP="009304F1">
      <w:pPr>
        <w:pStyle w:val="ConsPlusNormal"/>
        <w:jc w:val="center"/>
        <w:rPr>
          <w:rFonts w:cs="Times New Roman"/>
          <w:b/>
          <w:sz w:val="28"/>
          <w:szCs w:val="28"/>
        </w:rPr>
      </w:pPr>
      <w:r w:rsidRPr="009304F1">
        <w:rPr>
          <w:rFonts w:cs="Times New Roman"/>
          <w:b/>
          <w:sz w:val="28"/>
          <w:szCs w:val="28"/>
        </w:rPr>
        <w:t>Номинации для физических лиц</w:t>
      </w:r>
    </w:p>
    <w:p w:rsidR="009304F1" w:rsidRPr="009304F1" w:rsidRDefault="009304F1" w:rsidP="009304F1">
      <w:pPr>
        <w:pStyle w:val="ConsPlusNormal"/>
        <w:jc w:val="center"/>
        <w:rPr>
          <w:rFonts w:cs="Times New Roman"/>
          <w:b/>
          <w:sz w:val="28"/>
          <w:szCs w:val="28"/>
        </w:rPr>
      </w:pPr>
    </w:p>
    <w:p w:rsidR="009304F1" w:rsidRPr="00284388" w:rsidRDefault="009304F1" w:rsidP="009304F1">
      <w:pPr>
        <w:widowControl w:val="0"/>
        <w:tabs>
          <w:tab w:val="left" w:pos="1097"/>
        </w:tabs>
        <w:ind w:firstLine="720"/>
        <w:jc w:val="both"/>
        <w:rPr>
          <w:sz w:val="28"/>
          <w:szCs w:val="28"/>
        </w:rPr>
      </w:pPr>
      <w:r w:rsidRPr="00FC7892">
        <w:rPr>
          <w:b/>
          <w:sz w:val="28"/>
          <w:szCs w:val="28"/>
        </w:rPr>
        <w:t>1. Номинация «</w:t>
      </w:r>
      <w:proofErr w:type="gramStart"/>
      <w:r w:rsidRPr="00FC7892">
        <w:rPr>
          <w:b/>
          <w:sz w:val="28"/>
          <w:szCs w:val="28"/>
        </w:rPr>
        <w:t>Бюджетный</w:t>
      </w:r>
      <w:proofErr w:type="gramEnd"/>
      <w:r w:rsidRPr="00FC7892">
        <w:rPr>
          <w:b/>
          <w:sz w:val="28"/>
          <w:szCs w:val="28"/>
        </w:rPr>
        <w:t xml:space="preserve"> </w:t>
      </w:r>
      <w:proofErr w:type="spellStart"/>
      <w:r w:rsidRPr="00FC7892">
        <w:rPr>
          <w:b/>
          <w:sz w:val="28"/>
          <w:szCs w:val="28"/>
        </w:rPr>
        <w:t>квест</w:t>
      </w:r>
      <w:proofErr w:type="spellEnd"/>
      <w:r w:rsidRPr="00FC7892">
        <w:rPr>
          <w:b/>
          <w:sz w:val="28"/>
          <w:szCs w:val="28"/>
        </w:rPr>
        <w:t>»</w:t>
      </w:r>
      <w:r w:rsidRPr="00284388">
        <w:rPr>
          <w:sz w:val="28"/>
          <w:szCs w:val="28"/>
        </w:rPr>
        <w:t xml:space="preserve"> </w:t>
      </w:r>
      <w:r w:rsidRPr="00284388">
        <w:rPr>
          <w:sz w:val="28"/>
          <w:szCs w:val="28"/>
          <w:lang w:eastAsia="ru-RU" w:bidi="ru-RU"/>
        </w:rPr>
        <w:t>предполагает подготовку проекта, в игровой форме развивающего представление о бюджете, бюджетной терминологии, бюджетной системе и ее принципах, особенностях бюджетного процесса.</w:t>
      </w:r>
    </w:p>
    <w:p w:rsidR="009304F1" w:rsidRPr="00284388" w:rsidRDefault="009304F1" w:rsidP="009304F1">
      <w:pPr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 xml:space="preserve">Проект может быть представлен в виде настольных игр и видеоигр, кроссвордов, </w:t>
      </w:r>
      <w:proofErr w:type="spellStart"/>
      <w:r w:rsidRPr="00284388">
        <w:rPr>
          <w:sz w:val="28"/>
          <w:szCs w:val="28"/>
          <w:lang w:eastAsia="ru-RU" w:bidi="ru-RU"/>
        </w:rPr>
        <w:t>сканвордов</w:t>
      </w:r>
      <w:proofErr w:type="spellEnd"/>
      <w:r w:rsidRPr="00284388">
        <w:rPr>
          <w:sz w:val="28"/>
          <w:szCs w:val="28"/>
          <w:lang w:eastAsia="ru-RU" w:bidi="ru-RU"/>
        </w:rPr>
        <w:t>, головоломок, шарад, загадок, в которых раскрывается тематика бюджетов публично-правовых образований.</w:t>
      </w:r>
    </w:p>
    <w:p w:rsidR="009304F1" w:rsidRPr="00284388" w:rsidRDefault="009304F1" w:rsidP="009304F1">
      <w:pPr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 xml:space="preserve">Основным критерием оценки конкурсного проекта по данной номинации является </w:t>
      </w:r>
      <w:r w:rsidRPr="00284388">
        <w:rPr>
          <w:rStyle w:val="Bodytext2"/>
          <w:rFonts w:eastAsia="Calibri"/>
        </w:rPr>
        <w:t>достоверность, правильность использования терминологии и соответствие тематике по формированию и использованию средств бюджетов публично-правовых образований</w:t>
      </w:r>
      <w:r w:rsidRPr="00284388">
        <w:rPr>
          <w:sz w:val="28"/>
          <w:szCs w:val="28"/>
          <w:lang w:eastAsia="ru-RU" w:bidi="ru-RU"/>
        </w:rPr>
        <w:t>.</w:t>
      </w:r>
    </w:p>
    <w:p w:rsidR="009304F1" w:rsidRPr="00284388" w:rsidRDefault="009304F1" w:rsidP="009304F1">
      <w:pPr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В качестве дополнительных критериев оценки конкурсного проекта по данной номинации выступают:</w:t>
      </w:r>
    </w:p>
    <w:p w:rsidR="009304F1" w:rsidRPr="00284388" w:rsidRDefault="009304F1" w:rsidP="009304F1">
      <w:pPr>
        <w:widowControl w:val="0"/>
        <w:numPr>
          <w:ilvl w:val="0"/>
          <w:numId w:val="1"/>
        </w:numPr>
        <w:tabs>
          <w:tab w:val="left" w:pos="1097"/>
        </w:tabs>
        <w:suppressAutoHyphens w:val="0"/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 xml:space="preserve">количество участников, прошедших </w:t>
      </w:r>
      <w:proofErr w:type="spellStart"/>
      <w:r w:rsidRPr="00284388">
        <w:rPr>
          <w:sz w:val="28"/>
          <w:szCs w:val="28"/>
          <w:lang w:eastAsia="ru-RU" w:bidi="ru-RU"/>
        </w:rPr>
        <w:t>квест</w:t>
      </w:r>
      <w:proofErr w:type="spellEnd"/>
      <w:r w:rsidRPr="00284388">
        <w:rPr>
          <w:sz w:val="28"/>
          <w:szCs w:val="28"/>
          <w:lang w:eastAsia="ru-RU" w:bidi="ru-RU"/>
        </w:rPr>
        <w:t xml:space="preserve"> (загрузивших игру на перс</w:t>
      </w:r>
      <w:r w:rsidRPr="00284388">
        <w:rPr>
          <w:sz w:val="28"/>
          <w:szCs w:val="28"/>
          <w:lang w:eastAsia="ru-RU" w:bidi="ru-RU"/>
        </w:rPr>
        <w:t>о</w:t>
      </w:r>
      <w:r w:rsidRPr="00284388">
        <w:rPr>
          <w:sz w:val="28"/>
          <w:szCs w:val="28"/>
          <w:lang w:eastAsia="ru-RU" w:bidi="ru-RU"/>
        </w:rPr>
        <w:t>нальный компьютер);</w:t>
      </w:r>
    </w:p>
    <w:p w:rsidR="009304F1" w:rsidRPr="00284388" w:rsidRDefault="009304F1" w:rsidP="009304F1">
      <w:pPr>
        <w:widowControl w:val="0"/>
        <w:numPr>
          <w:ilvl w:val="0"/>
          <w:numId w:val="1"/>
        </w:numPr>
        <w:tabs>
          <w:tab w:val="left" w:pos="1097"/>
        </w:tabs>
        <w:suppressAutoHyphens w:val="0"/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оригинальность;</w:t>
      </w:r>
    </w:p>
    <w:p w:rsidR="009304F1" w:rsidRPr="00284388" w:rsidRDefault="009304F1" w:rsidP="009304F1">
      <w:pPr>
        <w:widowControl w:val="0"/>
        <w:numPr>
          <w:ilvl w:val="0"/>
          <w:numId w:val="1"/>
        </w:numPr>
        <w:tabs>
          <w:tab w:val="left" w:pos="1097"/>
        </w:tabs>
        <w:suppressAutoHyphens w:val="0"/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качество оформления и визуализации.</w:t>
      </w:r>
    </w:p>
    <w:p w:rsidR="009304F1" w:rsidRPr="00284388" w:rsidRDefault="009304F1" w:rsidP="009304F1">
      <w:pPr>
        <w:widowControl w:val="0"/>
        <w:tabs>
          <w:tab w:val="left" w:pos="1097"/>
        </w:tabs>
        <w:ind w:firstLine="720"/>
        <w:jc w:val="both"/>
        <w:rPr>
          <w:sz w:val="28"/>
          <w:szCs w:val="28"/>
        </w:rPr>
      </w:pPr>
      <w:r w:rsidRPr="00FC7892">
        <w:rPr>
          <w:rStyle w:val="Bodytext2Bold"/>
          <w:rFonts w:eastAsia="Calibri"/>
        </w:rPr>
        <w:t>2. Номинация «Лучший видеоролик о бюджете»</w:t>
      </w:r>
      <w:r w:rsidRPr="00284388">
        <w:rPr>
          <w:rStyle w:val="Bodytext2Bold"/>
          <w:rFonts w:eastAsia="Calibri"/>
          <w:b w:val="0"/>
        </w:rPr>
        <w:t xml:space="preserve"> </w:t>
      </w:r>
      <w:r w:rsidRPr="00284388">
        <w:rPr>
          <w:sz w:val="28"/>
          <w:szCs w:val="28"/>
          <w:lang w:eastAsia="ru-RU" w:bidi="ru-RU"/>
        </w:rPr>
        <w:t xml:space="preserve">предполагает представление вопросов </w:t>
      </w:r>
      <w:proofErr w:type="gramStart"/>
      <w:r w:rsidRPr="00284388">
        <w:rPr>
          <w:sz w:val="28"/>
          <w:szCs w:val="28"/>
          <w:lang w:eastAsia="ru-RU" w:bidi="ru-RU"/>
        </w:rPr>
        <w:t>формирования</w:t>
      </w:r>
      <w:proofErr w:type="gramEnd"/>
      <w:r w:rsidRPr="00284388">
        <w:rPr>
          <w:sz w:val="28"/>
          <w:szCs w:val="28"/>
          <w:lang w:eastAsia="ru-RU" w:bidi="ru-RU"/>
        </w:rPr>
        <w:t xml:space="preserve"> и исполнения бюджетов бюджетной системы в формате небольших видеороликов продолжительностью 3-5 минут. Приветствуется наличие художественных метафор, использование графических цифровых технологий, нестандартная сценарная, режиссерская и операторская работа.</w:t>
      </w:r>
    </w:p>
    <w:p w:rsidR="009304F1" w:rsidRPr="00284388" w:rsidRDefault="009304F1" w:rsidP="009304F1">
      <w:pPr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 xml:space="preserve">Конкурсный проект может быть оформлен в виде </w:t>
      </w:r>
      <w:proofErr w:type="spellStart"/>
      <w:r w:rsidRPr="00284388">
        <w:rPr>
          <w:sz w:val="28"/>
          <w:szCs w:val="28"/>
          <w:lang w:eastAsia="ru-RU" w:bidi="ru-RU"/>
        </w:rPr>
        <w:t>имиджевых</w:t>
      </w:r>
      <w:proofErr w:type="spellEnd"/>
      <w:r w:rsidRPr="00284388">
        <w:rPr>
          <w:sz w:val="28"/>
          <w:szCs w:val="28"/>
          <w:lang w:eastAsia="ru-RU" w:bidi="ru-RU"/>
        </w:rPr>
        <w:t xml:space="preserve">, презентационных, обучающих, социальных видео, </w:t>
      </w:r>
      <w:proofErr w:type="spellStart"/>
      <w:r w:rsidRPr="00284388">
        <w:rPr>
          <w:sz w:val="28"/>
          <w:szCs w:val="28"/>
          <w:lang w:eastAsia="ru-RU" w:bidi="ru-RU"/>
        </w:rPr>
        <w:t>промороликов</w:t>
      </w:r>
      <w:proofErr w:type="spellEnd"/>
      <w:r w:rsidRPr="00284388">
        <w:rPr>
          <w:sz w:val="28"/>
          <w:szCs w:val="28"/>
          <w:lang w:eastAsia="ru-RU" w:bidi="ru-RU"/>
        </w:rPr>
        <w:t>, а также Видео-Арт.</w:t>
      </w:r>
    </w:p>
    <w:p w:rsidR="009304F1" w:rsidRPr="00284388" w:rsidRDefault="009304F1" w:rsidP="009304F1">
      <w:pPr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 xml:space="preserve">Основным критерием оценки конкурсного проекта по данной номинации является </w:t>
      </w:r>
      <w:r w:rsidRPr="00284388">
        <w:rPr>
          <w:rStyle w:val="Bodytext2"/>
          <w:rFonts w:eastAsia="Calibri"/>
        </w:rPr>
        <w:t>визуальная форма представления информации, понятность и последовательность изложения информации, её соответствие современным научным и практическим представлениям о бюджете публично-правового образования.</w:t>
      </w:r>
    </w:p>
    <w:p w:rsidR="009304F1" w:rsidRPr="00284388" w:rsidRDefault="009304F1" w:rsidP="009304F1">
      <w:pPr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В качестве дополнительных критериев оценки конкурсного проекта по данной номинации выступают:</w:t>
      </w:r>
    </w:p>
    <w:p w:rsidR="009304F1" w:rsidRPr="00284388" w:rsidRDefault="009304F1" w:rsidP="009304F1">
      <w:pPr>
        <w:widowControl w:val="0"/>
        <w:numPr>
          <w:ilvl w:val="0"/>
          <w:numId w:val="1"/>
        </w:numPr>
        <w:tabs>
          <w:tab w:val="left" w:pos="1107"/>
        </w:tabs>
        <w:suppressAutoHyphens w:val="0"/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художественный уровень проекта;</w:t>
      </w:r>
    </w:p>
    <w:p w:rsidR="009304F1" w:rsidRPr="00284388" w:rsidRDefault="009304F1" w:rsidP="009304F1">
      <w:pPr>
        <w:widowControl w:val="0"/>
        <w:numPr>
          <w:ilvl w:val="0"/>
          <w:numId w:val="1"/>
        </w:numPr>
        <w:tabs>
          <w:tab w:val="left" w:pos="1107"/>
        </w:tabs>
        <w:suppressAutoHyphens w:val="0"/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возможность использования в просветительских, учебных, агитацио</w:t>
      </w:r>
      <w:r w:rsidRPr="00284388">
        <w:rPr>
          <w:sz w:val="28"/>
          <w:szCs w:val="28"/>
          <w:lang w:eastAsia="ru-RU" w:bidi="ru-RU"/>
        </w:rPr>
        <w:t>н</w:t>
      </w:r>
      <w:r w:rsidRPr="00284388">
        <w:rPr>
          <w:sz w:val="28"/>
          <w:szCs w:val="28"/>
          <w:lang w:eastAsia="ru-RU" w:bidi="ru-RU"/>
        </w:rPr>
        <w:t>ных и рекламных целях;</w:t>
      </w:r>
    </w:p>
    <w:p w:rsidR="009304F1" w:rsidRPr="00284388" w:rsidRDefault="009304F1" w:rsidP="009304F1">
      <w:pPr>
        <w:widowControl w:val="0"/>
        <w:numPr>
          <w:ilvl w:val="0"/>
          <w:numId w:val="1"/>
        </w:numPr>
        <w:tabs>
          <w:tab w:val="left" w:pos="1107"/>
        </w:tabs>
        <w:suppressAutoHyphens w:val="0"/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информативность.</w:t>
      </w:r>
    </w:p>
    <w:p w:rsidR="009304F1" w:rsidRPr="00284388" w:rsidRDefault="009304F1" w:rsidP="009304F1">
      <w:pPr>
        <w:widowControl w:val="0"/>
        <w:tabs>
          <w:tab w:val="left" w:pos="1107"/>
        </w:tabs>
        <w:ind w:firstLine="720"/>
        <w:jc w:val="both"/>
        <w:rPr>
          <w:sz w:val="28"/>
          <w:szCs w:val="28"/>
        </w:rPr>
      </w:pPr>
      <w:r w:rsidRPr="00FC7892">
        <w:rPr>
          <w:b/>
          <w:sz w:val="28"/>
          <w:szCs w:val="28"/>
        </w:rPr>
        <w:t xml:space="preserve">3. </w:t>
      </w:r>
      <w:proofErr w:type="gramStart"/>
      <w:r w:rsidRPr="00FC7892">
        <w:rPr>
          <w:b/>
          <w:sz w:val="28"/>
          <w:szCs w:val="28"/>
        </w:rPr>
        <w:t>Номинация «Бюджет и национальные проекты»</w:t>
      </w:r>
      <w:r w:rsidRPr="00284388">
        <w:rPr>
          <w:sz w:val="28"/>
          <w:szCs w:val="28"/>
        </w:rPr>
        <w:t xml:space="preserve"> </w:t>
      </w:r>
      <w:r w:rsidRPr="00284388">
        <w:rPr>
          <w:sz w:val="28"/>
          <w:szCs w:val="28"/>
          <w:lang w:eastAsia="ru-RU" w:bidi="ru-RU"/>
        </w:rPr>
        <w:t xml:space="preserve">предполагает наглядное отражение информации о бюджетном финансировании мероприятий национальных проектов, установленных Указом Президента России от 7 мая 2018 года №204 «О национальных целях и стратегических задачах развития Российской Федерации на период до 2024 года» и направленных на обеспечение прорывного научно-технологического и </w:t>
      </w:r>
      <w:r w:rsidRPr="00284388">
        <w:rPr>
          <w:sz w:val="28"/>
          <w:szCs w:val="28"/>
          <w:lang w:eastAsia="ru-RU" w:bidi="ru-RU"/>
        </w:rPr>
        <w:lastRenderedPageBreak/>
        <w:t>социально-экономического развития России, повышения уровня жизни, создания условий и возможностей для самореализации и раскрытия</w:t>
      </w:r>
      <w:proofErr w:type="gramEnd"/>
      <w:r w:rsidRPr="00284388">
        <w:rPr>
          <w:sz w:val="28"/>
          <w:szCs w:val="28"/>
          <w:lang w:eastAsia="ru-RU" w:bidi="ru-RU"/>
        </w:rPr>
        <w:t xml:space="preserve"> таланта каждого человека.</w:t>
      </w:r>
    </w:p>
    <w:p w:rsidR="009304F1" w:rsidRPr="00284388" w:rsidRDefault="009304F1" w:rsidP="009304F1">
      <w:pPr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 xml:space="preserve">Основным критерием оценки конкурсного проекта по данной номинации является </w:t>
      </w:r>
      <w:r w:rsidRPr="00284388">
        <w:rPr>
          <w:rStyle w:val="Bodytext2"/>
          <w:rFonts w:eastAsia="Calibri"/>
        </w:rPr>
        <w:t>его соответствие современным научным и практическим представлениям о бюджете, а также содержанию национальных проектов</w:t>
      </w:r>
      <w:r w:rsidRPr="00284388">
        <w:rPr>
          <w:sz w:val="28"/>
          <w:szCs w:val="28"/>
          <w:lang w:eastAsia="ru-RU" w:bidi="ru-RU"/>
        </w:rPr>
        <w:t>.</w:t>
      </w:r>
    </w:p>
    <w:p w:rsidR="009304F1" w:rsidRPr="00284388" w:rsidRDefault="009304F1" w:rsidP="009304F1">
      <w:pPr>
        <w:pStyle w:val="ConsPlusTitle"/>
        <w:ind w:firstLine="720"/>
        <w:rPr>
          <w:b w:val="0"/>
          <w:sz w:val="28"/>
          <w:szCs w:val="28"/>
          <w:lang w:bidi="ru-RU"/>
        </w:rPr>
      </w:pPr>
      <w:r w:rsidRPr="00284388">
        <w:rPr>
          <w:b w:val="0"/>
          <w:sz w:val="28"/>
          <w:szCs w:val="28"/>
          <w:lang w:bidi="ru-RU"/>
        </w:rPr>
        <w:t>В качестве дополнительных критериев оценки конкурсного проекта по данной номинации выступают:</w:t>
      </w:r>
    </w:p>
    <w:p w:rsidR="009304F1" w:rsidRPr="00284388" w:rsidRDefault="009304F1" w:rsidP="009304F1">
      <w:pPr>
        <w:widowControl w:val="0"/>
        <w:numPr>
          <w:ilvl w:val="0"/>
          <w:numId w:val="1"/>
        </w:numPr>
        <w:tabs>
          <w:tab w:val="left" w:pos="1128"/>
        </w:tabs>
        <w:suppressAutoHyphens w:val="0"/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достоверность и полнота информации о национальном проекте, объеме и формах бюджетного финансирования его мероприятий;</w:t>
      </w:r>
    </w:p>
    <w:p w:rsidR="009304F1" w:rsidRDefault="009304F1" w:rsidP="009304F1">
      <w:pPr>
        <w:widowControl w:val="0"/>
        <w:numPr>
          <w:ilvl w:val="0"/>
          <w:numId w:val="1"/>
        </w:numPr>
        <w:tabs>
          <w:tab w:val="left" w:pos="1128"/>
        </w:tabs>
        <w:suppressAutoHyphens w:val="0"/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адресность информации для целевых групп граждан;</w:t>
      </w:r>
    </w:p>
    <w:p w:rsidR="009304F1" w:rsidRPr="00C6511F" w:rsidRDefault="009304F1" w:rsidP="009304F1">
      <w:pPr>
        <w:widowControl w:val="0"/>
        <w:numPr>
          <w:ilvl w:val="0"/>
          <w:numId w:val="1"/>
        </w:numPr>
        <w:tabs>
          <w:tab w:val="left" w:pos="1128"/>
        </w:tabs>
        <w:suppressAutoHyphens w:val="0"/>
        <w:ind w:firstLine="72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</w:t>
      </w:r>
      <w:r w:rsidRPr="00C6511F">
        <w:rPr>
          <w:sz w:val="28"/>
          <w:szCs w:val="28"/>
          <w:lang w:eastAsia="ru-RU" w:bidi="ru-RU"/>
        </w:rPr>
        <w:t>информативность, наглядность.</w:t>
      </w:r>
    </w:p>
    <w:p w:rsidR="009304F1" w:rsidRPr="00284388" w:rsidRDefault="009304F1" w:rsidP="009304F1">
      <w:pPr>
        <w:widowControl w:val="0"/>
        <w:tabs>
          <w:tab w:val="left" w:pos="1128"/>
        </w:tabs>
        <w:ind w:firstLine="720"/>
        <w:jc w:val="both"/>
        <w:rPr>
          <w:sz w:val="28"/>
          <w:szCs w:val="28"/>
        </w:rPr>
      </w:pPr>
      <w:r w:rsidRPr="00FC7892">
        <w:rPr>
          <w:rStyle w:val="Bodytext2Bold"/>
          <w:rFonts w:eastAsia="Calibri"/>
        </w:rPr>
        <w:t>4. Номинация «Лучшая информационная панель (</w:t>
      </w:r>
      <w:proofErr w:type="spellStart"/>
      <w:r w:rsidRPr="00FC7892">
        <w:rPr>
          <w:rStyle w:val="Bodytext2Bold"/>
          <w:rFonts w:eastAsia="Calibri"/>
        </w:rPr>
        <w:t>дашборд</w:t>
      </w:r>
      <w:proofErr w:type="spellEnd"/>
      <w:r w:rsidRPr="00FC7892">
        <w:rPr>
          <w:rStyle w:val="Bodytext2Bold"/>
          <w:rFonts w:eastAsia="Calibri"/>
        </w:rPr>
        <w:t>) по бюджету для граждан»</w:t>
      </w:r>
      <w:r w:rsidRPr="00284388">
        <w:rPr>
          <w:rStyle w:val="Bodytext2Bold"/>
          <w:rFonts w:eastAsia="Calibri"/>
          <w:b w:val="0"/>
        </w:rPr>
        <w:t xml:space="preserve"> </w:t>
      </w:r>
      <w:r w:rsidRPr="00284388">
        <w:rPr>
          <w:sz w:val="28"/>
          <w:szCs w:val="28"/>
          <w:lang w:eastAsia="ru-RU" w:bidi="ru-RU"/>
        </w:rPr>
        <w:t>предполагает простое визуальное представление данных о бюджете, бюджетной системе и ее принципах, особенностях бюджетного процесса, сгруппированных по смыслу на одной панели (экране) для более легкого визуального восприятия информации.</w:t>
      </w:r>
    </w:p>
    <w:p w:rsidR="009304F1" w:rsidRPr="00284388" w:rsidRDefault="009304F1" w:rsidP="009304F1">
      <w:pPr>
        <w:ind w:firstLine="720"/>
        <w:jc w:val="both"/>
        <w:rPr>
          <w:sz w:val="28"/>
          <w:szCs w:val="28"/>
        </w:rPr>
      </w:pPr>
      <w:proofErr w:type="gramStart"/>
      <w:r w:rsidRPr="00284388">
        <w:rPr>
          <w:sz w:val="28"/>
          <w:szCs w:val="28"/>
          <w:lang w:eastAsia="ru-RU" w:bidi="ru-RU"/>
        </w:rPr>
        <w:t xml:space="preserve">Конкурсный проект может быть оформлен в виде управленческих (стратегических), аналитических или операционных </w:t>
      </w:r>
      <w:proofErr w:type="spellStart"/>
      <w:r w:rsidRPr="00284388">
        <w:rPr>
          <w:sz w:val="28"/>
          <w:szCs w:val="28"/>
          <w:lang w:eastAsia="ru-RU" w:bidi="ru-RU"/>
        </w:rPr>
        <w:t>дашбордов</w:t>
      </w:r>
      <w:proofErr w:type="spellEnd"/>
      <w:r w:rsidRPr="00284388">
        <w:rPr>
          <w:sz w:val="28"/>
          <w:szCs w:val="28"/>
          <w:lang w:eastAsia="ru-RU" w:bidi="ru-RU"/>
        </w:rPr>
        <w:t xml:space="preserve"> и обеспечивать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</w:t>
      </w:r>
      <w:proofErr w:type="gramEnd"/>
    </w:p>
    <w:p w:rsidR="009304F1" w:rsidRPr="00284388" w:rsidRDefault="009304F1" w:rsidP="009304F1">
      <w:pPr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 xml:space="preserve">Основным критерием оценки конкурсного проекта по данной номинации является </w:t>
      </w:r>
      <w:r w:rsidRPr="00284388">
        <w:rPr>
          <w:rStyle w:val="Bodytext2"/>
          <w:rFonts w:eastAsia="Calibri"/>
        </w:rPr>
        <w:t>простота визуализации информации, её соответствие современным научным и практическим представлениям о бюджете публично-правового образования</w:t>
      </w:r>
      <w:r w:rsidRPr="00284388">
        <w:rPr>
          <w:sz w:val="28"/>
          <w:szCs w:val="28"/>
          <w:lang w:eastAsia="ru-RU" w:bidi="ru-RU"/>
        </w:rPr>
        <w:t>.</w:t>
      </w:r>
    </w:p>
    <w:p w:rsidR="009304F1" w:rsidRPr="00284388" w:rsidRDefault="009304F1" w:rsidP="009304F1">
      <w:pPr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В качестве дополнительных критериев оценки конкурсного проекта по данной номинации выступают:</w:t>
      </w:r>
    </w:p>
    <w:p w:rsidR="009304F1" w:rsidRPr="00284388" w:rsidRDefault="009304F1" w:rsidP="009304F1">
      <w:pPr>
        <w:widowControl w:val="0"/>
        <w:numPr>
          <w:ilvl w:val="0"/>
          <w:numId w:val="1"/>
        </w:numPr>
        <w:tabs>
          <w:tab w:val="left" w:pos="1128"/>
        </w:tabs>
        <w:suppressAutoHyphens w:val="0"/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информативность, наглядность;</w:t>
      </w:r>
    </w:p>
    <w:p w:rsidR="009304F1" w:rsidRDefault="009304F1" w:rsidP="009304F1">
      <w:pPr>
        <w:widowControl w:val="0"/>
        <w:numPr>
          <w:ilvl w:val="0"/>
          <w:numId w:val="1"/>
        </w:numPr>
        <w:tabs>
          <w:tab w:val="left" w:pos="1128"/>
        </w:tabs>
        <w:suppressAutoHyphens w:val="0"/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широта охвата решаемых задач;</w:t>
      </w:r>
    </w:p>
    <w:p w:rsidR="009304F1" w:rsidRPr="00C6511F" w:rsidRDefault="009304F1" w:rsidP="009304F1">
      <w:pPr>
        <w:widowControl w:val="0"/>
        <w:numPr>
          <w:ilvl w:val="0"/>
          <w:numId w:val="1"/>
        </w:numPr>
        <w:tabs>
          <w:tab w:val="left" w:pos="1128"/>
        </w:tabs>
        <w:suppressAutoHyphens w:val="0"/>
        <w:ind w:firstLine="720"/>
        <w:jc w:val="both"/>
        <w:rPr>
          <w:sz w:val="28"/>
          <w:szCs w:val="28"/>
          <w:lang w:eastAsia="ru-RU" w:bidi="ru-RU"/>
        </w:rPr>
      </w:pPr>
      <w:r w:rsidRPr="00C6511F">
        <w:rPr>
          <w:sz w:val="28"/>
          <w:szCs w:val="28"/>
          <w:lang w:eastAsia="ru-RU" w:bidi="ru-RU"/>
        </w:rPr>
        <w:t>интерактивность, удобный интерфейс.</w:t>
      </w:r>
    </w:p>
    <w:p w:rsidR="009304F1" w:rsidRPr="00284388" w:rsidRDefault="009304F1" w:rsidP="009304F1">
      <w:pPr>
        <w:pStyle w:val="Heading10"/>
        <w:keepNext/>
        <w:keepLines/>
        <w:shd w:val="clear" w:color="auto" w:fill="auto"/>
        <w:spacing w:before="0" w:after="0" w:line="240" w:lineRule="auto"/>
        <w:ind w:firstLine="720"/>
        <w:jc w:val="both"/>
        <w:rPr>
          <w:b w:val="0"/>
        </w:rPr>
      </w:pPr>
      <w:bookmarkStart w:id="0" w:name="bookmark9"/>
      <w:r w:rsidRPr="00D06B03">
        <w:rPr>
          <w:rStyle w:val="Heading1NotBold"/>
          <w:rFonts w:eastAsiaTheme="minorHAnsi"/>
          <w:b/>
        </w:rPr>
        <w:t xml:space="preserve">5. </w:t>
      </w:r>
      <w:r w:rsidRPr="009304F1">
        <w:rPr>
          <w:rStyle w:val="Heading1NotBold"/>
          <w:rFonts w:eastAsiaTheme="minorHAnsi"/>
          <w:b/>
        </w:rPr>
        <w:t>Н</w:t>
      </w:r>
      <w:r w:rsidRPr="009304F1">
        <w:rPr>
          <w:rFonts w:ascii="Times New Roman" w:hAnsi="Times New Roman" w:cs="Times New Roman"/>
          <w:lang w:bidi="ru-RU"/>
        </w:rPr>
        <w:t>оминация «Бюджет и комфортная городская среда»</w:t>
      </w:r>
      <w:bookmarkEnd w:id="0"/>
      <w:r w:rsidRPr="009304F1">
        <w:rPr>
          <w:rFonts w:ascii="Times New Roman" w:hAnsi="Times New Roman" w:cs="Times New Roman"/>
          <w:lang w:bidi="ru-RU"/>
        </w:rPr>
        <w:t xml:space="preserve"> </w:t>
      </w:r>
      <w:r w:rsidRPr="009304F1">
        <w:rPr>
          <w:rFonts w:ascii="Times New Roman" w:hAnsi="Times New Roman" w:cs="Times New Roman"/>
          <w:b w:val="0"/>
          <w:lang w:bidi="ru-RU"/>
        </w:rPr>
        <w:t>предполагает представление в доступной и понятной для граждан форме информацию о повышении комфортности городской среды, повышении индекса качества городской среды, о реализации мероприятий по благоустройству, предусмотренных государственными (муниципальными) программами формирования современной г</w:t>
      </w:r>
      <w:r w:rsidRPr="009304F1">
        <w:rPr>
          <w:rFonts w:ascii="Times New Roman" w:hAnsi="Times New Roman" w:cs="Times New Roman"/>
          <w:b w:val="0"/>
          <w:lang w:bidi="ru-RU"/>
        </w:rPr>
        <w:t>о</w:t>
      </w:r>
      <w:r w:rsidRPr="009304F1">
        <w:rPr>
          <w:rFonts w:ascii="Times New Roman" w:hAnsi="Times New Roman" w:cs="Times New Roman"/>
          <w:b w:val="0"/>
          <w:lang w:bidi="ru-RU"/>
        </w:rPr>
        <w:t>родской среды.</w:t>
      </w:r>
    </w:p>
    <w:p w:rsidR="009304F1" w:rsidRPr="00284388" w:rsidRDefault="009304F1" w:rsidP="009304F1">
      <w:pPr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 xml:space="preserve">Основным критерием оценки конкурсного проекта по данной номинации является </w:t>
      </w:r>
      <w:r w:rsidRPr="00284388">
        <w:rPr>
          <w:rStyle w:val="Bodytext2"/>
          <w:rFonts w:eastAsia="Calibri"/>
        </w:rPr>
        <w:t>отражение в конкурсном проекте информации о мероприятиях по повышению комфортности городской среды, реализуемых за счет средств бюджетов и внебюджетных</w:t>
      </w:r>
      <w:bookmarkStart w:id="1" w:name="_GoBack"/>
      <w:bookmarkEnd w:id="1"/>
      <w:r w:rsidRPr="00284388">
        <w:rPr>
          <w:rStyle w:val="Bodytext2"/>
          <w:rFonts w:eastAsia="Calibri"/>
        </w:rPr>
        <w:t xml:space="preserve"> источников финансирования</w:t>
      </w:r>
      <w:r w:rsidRPr="00284388">
        <w:rPr>
          <w:sz w:val="28"/>
          <w:szCs w:val="28"/>
          <w:lang w:eastAsia="ru-RU" w:bidi="ru-RU"/>
        </w:rPr>
        <w:t>.</w:t>
      </w:r>
    </w:p>
    <w:p w:rsidR="009304F1" w:rsidRPr="00284388" w:rsidRDefault="009304F1" w:rsidP="009304F1">
      <w:pPr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lastRenderedPageBreak/>
        <w:t>В качестве дополнительных критериев оценки конкурсного проекта по данной номинации выступают:</w:t>
      </w:r>
    </w:p>
    <w:p w:rsidR="009304F1" w:rsidRPr="00284388" w:rsidRDefault="009304F1" w:rsidP="009304F1">
      <w:pPr>
        <w:widowControl w:val="0"/>
        <w:numPr>
          <w:ilvl w:val="0"/>
          <w:numId w:val="1"/>
        </w:numPr>
        <w:tabs>
          <w:tab w:val="left" w:pos="1115"/>
        </w:tabs>
        <w:suppressAutoHyphens w:val="0"/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достоверность и полнота информации о мероприятиях по повышению комфортности городской среды;</w:t>
      </w:r>
    </w:p>
    <w:p w:rsidR="009304F1" w:rsidRDefault="009304F1" w:rsidP="009304F1">
      <w:pPr>
        <w:widowControl w:val="0"/>
        <w:numPr>
          <w:ilvl w:val="0"/>
          <w:numId w:val="1"/>
        </w:numPr>
        <w:tabs>
          <w:tab w:val="left" w:pos="1115"/>
        </w:tabs>
        <w:suppressAutoHyphens w:val="0"/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адресность информации для целевых групп граждан;</w:t>
      </w:r>
    </w:p>
    <w:p w:rsidR="009304F1" w:rsidRPr="00C6511F" w:rsidRDefault="009304F1" w:rsidP="009304F1">
      <w:pPr>
        <w:widowControl w:val="0"/>
        <w:numPr>
          <w:ilvl w:val="0"/>
          <w:numId w:val="1"/>
        </w:numPr>
        <w:tabs>
          <w:tab w:val="left" w:pos="1115"/>
        </w:tabs>
        <w:suppressAutoHyphens w:val="0"/>
        <w:ind w:firstLine="720"/>
        <w:jc w:val="both"/>
        <w:rPr>
          <w:sz w:val="28"/>
          <w:szCs w:val="28"/>
          <w:lang w:eastAsia="ru-RU" w:bidi="ru-RU"/>
        </w:rPr>
      </w:pPr>
      <w:r w:rsidRPr="00C6511F">
        <w:rPr>
          <w:sz w:val="28"/>
          <w:szCs w:val="28"/>
          <w:lang w:eastAsia="ru-RU" w:bidi="ru-RU"/>
        </w:rPr>
        <w:t>качество визуализации.</w:t>
      </w:r>
    </w:p>
    <w:p w:rsidR="00742492" w:rsidRDefault="00742492"/>
    <w:sectPr w:rsidR="0074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708"/>
    <w:multiLevelType w:val="multilevel"/>
    <w:tmpl w:val="B7BE66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F1"/>
    <w:rsid w:val="00742492"/>
    <w:rsid w:val="0093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4F1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zh-CN"/>
    </w:rPr>
  </w:style>
  <w:style w:type="paragraph" w:customStyle="1" w:styleId="ConsPlusTitle">
    <w:name w:val="ConsPlusTitle"/>
    <w:rsid w:val="009304F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32"/>
      <w:szCs w:val="32"/>
      <w:lang w:eastAsia="zh-CN"/>
    </w:rPr>
  </w:style>
  <w:style w:type="character" w:customStyle="1" w:styleId="Bodytext2">
    <w:name w:val="Body text (2)"/>
    <w:rsid w:val="00930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Bold">
    <w:name w:val="Body text (2) + Bold"/>
    <w:rsid w:val="009304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link w:val="Heading10"/>
    <w:rsid w:val="009304F1"/>
    <w:rPr>
      <w:b/>
      <w:bCs/>
      <w:sz w:val="28"/>
      <w:szCs w:val="28"/>
      <w:shd w:val="clear" w:color="auto" w:fill="FFFFFF"/>
    </w:rPr>
  </w:style>
  <w:style w:type="character" w:customStyle="1" w:styleId="Heading1NotBold">
    <w:name w:val="Heading #1 + Not Bold"/>
    <w:rsid w:val="009304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9304F1"/>
    <w:pPr>
      <w:widowControl w:val="0"/>
      <w:shd w:val="clear" w:color="auto" w:fill="FFFFFF"/>
      <w:suppressAutoHyphens w:val="0"/>
      <w:spacing w:before="1140" w:after="18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4F1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zh-CN"/>
    </w:rPr>
  </w:style>
  <w:style w:type="paragraph" w:customStyle="1" w:styleId="ConsPlusTitle">
    <w:name w:val="ConsPlusTitle"/>
    <w:rsid w:val="009304F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32"/>
      <w:szCs w:val="32"/>
      <w:lang w:eastAsia="zh-CN"/>
    </w:rPr>
  </w:style>
  <w:style w:type="character" w:customStyle="1" w:styleId="Bodytext2">
    <w:name w:val="Body text (2)"/>
    <w:rsid w:val="00930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Bold">
    <w:name w:val="Body text (2) + Bold"/>
    <w:rsid w:val="009304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link w:val="Heading10"/>
    <w:rsid w:val="009304F1"/>
    <w:rPr>
      <w:b/>
      <w:bCs/>
      <w:sz w:val="28"/>
      <w:szCs w:val="28"/>
      <w:shd w:val="clear" w:color="auto" w:fill="FFFFFF"/>
    </w:rPr>
  </w:style>
  <w:style w:type="character" w:customStyle="1" w:styleId="Heading1NotBold">
    <w:name w:val="Heading #1 + Not Bold"/>
    <w:rsid w:val="009304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9304F1"/>
    <w:pPr>
      <w:widowControl w:val="0"/>
      <w:shd w:val="clear" w:color="auto" w:fill="FFFFFF"/>
      <w:suppressAutoHyphens w:val="0"/>
      <w:spacing w:before="1140" w:after="18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2020-04-15T09:09:00Z</dcterms:created>
  <dcterms:modified xsi:type="dcterms:W3CDTF">2020-04-15T09:12:00Z</dcterms:modified>
</cp:coreProperties>
</file>